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8FD2" w14:textId="77777777" w:rsidR="008C3FAE" w:rsidRDefault="008C3FAE" w:rsidP="008C3FAE">
      <w:pPr>
        <w:jc w:val="center"/>
        <w:rPr>
          <w:b/>
          <w:sz w:val="32"/>
          <w:szCs w:val="32"/>
        </w:rPr>
      </w:pPr>
      <w:r>
        <w:rPr>
          <w:b/>
          <w:sz w:val="32"/>
          <w:szCs w:val="32"/>
        </w:rPr>
        <w:t>Designing Online Classes to Accommodate Multiple Spring Breaks</w:t>
      </w:r>
    </w:p>
    <w:p w14:paraId="752262F2" w14:textId="77777777" w:rsidR="008C3FAE" w:rsidRPr="008C3FAE" w:rsidRDefault="008C3FAE" w:rsidP="008C3FAE">
      <w:pPr>
        <w:jc w:val="center"/>
        <w:rPr>
          <w:sz w:val="24"/>
          <w:szCs w:val="24"/>
        </w:rPr>
      </w:pPr>
      <w:r w:rsidRPr="008C3FAE">
        <w:rPr>
          <w:sz w:val="24"/>
          <w:szCs w:val="24"/>
        </w:rPr>
        <w:t>Eric Salahub FRCC</w:t>
      </w:r>
    </w:p>
    <w:p w14:paraId="433AE143" w14:textId="77777777" w:rsidR="008C3FAE" w:rsidRPr="003F433B" w:rsidRDefault="008C3FAE" w:rsidP="00A3167F">
      <w:pPr>
        <w:rPr>
          <w:b/>
        </w:rPr>
      </w:pPr>
      <w:r w:rsidRPr="003F433B">
        <w:rPr>
          <w:b/>
        </w:rPr>
        <w:t>Guiding Design Principles for Multiple Spring Breaks:</w:t>
      </w:r>
    </w:p>
    <w:p w14:paraId="44E0B137" w14:textId="77777777" w:rsidR="008C3FAE" w:rsidRPr="003F433B" w:rsidRDefault="008C3FAE" w:rsidP="008C3FAE">
      <w:pPr>
        <w:pStyle w:val="ListParagraph"/>
        <w:numPr>
          <w:ilvl w:val="0"/>
          <w:numId w:val="1"/>
        </w:numPr>
      </w:pPr>
      <w:r w:rsidRPr="003F433B">
        <w:t>Desig</w:t>
      </w:r>
      <w:r w:rsidR="00A77EA4" w:rsidRPr="003F433B">
        <w:t xml:space="preserve">n for equity </w:t>
      </w:r>
      <w:r w:rsidRPr="003F433B">
        <w:t>so that each student can take whichever Spring Break week that works best for them.</w:t>
      </w:r>
      <w:r w:rsidR="00A77EA4" w:rsidRPr="003F433B">
        <w:t xml:space="preserve"> </w:t>
      </w:r>
    </w:p>
    <w:p w14:paraId="7AFB57B4" w14:textId="77777777" w:rsidR="008C3FAE" w:rsidRPr="003F433B" w:rsidRDefault="008C3FAE" w:rsidP="008C3FAE">
      <w:pPr>
        <w:pStyle w:val="ListParagraph"/>
        <w:numPr>
          <w:ilvl w:val="0"/>
          <w:numId w:val="1"/>
        </w:numPr>
      </w:pPr>
      <w:r w:rsidRPr="003F433B">
        <w:t>Design so that the teacher gets to take a week off for Spring Break!</w:t>
      </w:r>
    </w:p>
    <w:p w14:paraId="17609499" w14:textId="77777777" w:rsidR="00A77EA4" w:rsidRPr="003F433B" w:rsidRDefault="00A77EA4" w:rsidP="00A77EA4">
      <w:pPr>
        <w:pStyle w:val="ListParagraph"/>
        <w:numPr>
          <w:ilvl w:val="0"/>
          <w:numId w:val="1"/>
        </w:numPr>
      </w:pPr>
      <w:r w:rsidRPr="003F433B">
        <w:t xml:space="preserve">Design for learning! A Spring Break scheme doesn’t need to undermine learning; in </w:t>
      </w:r>
      <w:r w:rsidR="009B356A" w:rsidRPr="003F433B">
        <w:t>fact,</w:t>
      </w:r>
      <w:r w:rsidRPr="003F433B">
        <w:t xml:space="preserve"> it might even foster more learning.</w:t>
      </w:r>
    </w:p>
    <w:p w14:paraId="6F315CF7" w14:textId="77777777" w:rsidR="008C3FAE" w:rsidRPr="003F433B" w:rsidRDefault="008C3FAE" w:rsidP="008C3FAE">
      <w:pPr>
        <w:pStyle w:val="ListParagraph"/>
        <w:numPr>
          <w:ilvl w:val="0"/>
          <w:numId w:val="1"/>
        </w:numPr>
      </w:pPr>
      <w:r w:rsidRPr="003F433B">
        <w:t>Design for clarity so that everyone understands the Spring Break scheme well before Spring Break.</w:t>
      </w:r>
    </w:p>
    <w:p w14:paraId="53C85016" w14:textId="77777777" w:rsidR="00A77EA4" w:rsidRPr="003F433B" w:rsidRDefault="00337C48" w:rsidP="008C3FAE">
      <w:pPr>
        <w:rPr>
          <w:b/>
        </w:rPr>
      </w:pPr>
      <w:r w:rsidRPr="003F433B">
        <w:rPr>
          <w:b/>
        </w:rPr>
        <w:t>Spring Breaks Design Suggestion</w:t>
      </w:r>
    </w:p>
    <w:p w14:paraId="46B54C9C" w14:textId="77777777" w:rsidR="00337C48" w:rsidRPr="003F433B" w:rsidRDefault="00337C48" w:rsidP="00337C48">
      <w:r w:rsidRPr="003F433B">
        <w:t xml:space="preserve">This design advice is based on the fact that FRCC has always had to deal with multiple Spring Breaks. In my previous role as the Online Instructional Coach, I helped online teachers from across the disciplines find ways to effectively accommodate students in the same class who had different Spring Breaks.  I’ve also taught online classes with multiple Spring Breaks for more than 20-years!  </w:t>
      </w:r>
    </w:p>
    <w:p w14:paraId="3448D6BD" w14:textId="77777777" w:rsidR="00337C48" w:rsidRPr="003F433B" w:rsidRDefault="00A77EA4" w:rsidP="00A77EA4">
      <w:r w:rsidRPr="003F433B">
        <w:t>Spring Break dates sometimes change from year to year so it is vital to check. For Spring 23 there are three different breaks across CCCS schools</w:t>
      </w:r>
      <w:r w:rsidR="00337C48" w:rsidRPr="003F433B">
        <w:t>.</w:t>
      </w:r>
    </w:p>
    <w:p w14:paraId="6962D0DF" w14:textId="77777777" w:rsidR="00A77EA4" w:rsidRPr="003F433B" w:rsidRDefault="00337C48" w:rsidP="00A77EA4">
      <w:pPr>
        <w:rPr>
          <w:rFonts w:eastAsiaTheme="minorHAnsi"/>
        </w:rPr>
      </w:pPr>
      <w:r w:rsidRPr="003F433B">
        <w:rPr>
          <w:rFonts w:eastAsiaTheme="minorHAnsi"/>
        </w:rPr>
        <w:t>Here is my go-to design option for multiple Spring Breaks. There are two variations included</w:t>
      </w:r>
      <w:r w:rsidR="00725B8C">
        <w:rPr>
          <w:rFonts w:eastAsiaTheme="minorHAnsi"/>
        </w:rPr>
        <w:t xml:space="preserve"> in </w:t>
      </w:r>
      <w:r w:rsidR="00725B8C" w:rsidRPr="00725B8C">
        <w:rPr>
          <w:rFonts w:eastAsiaTheme="minorHAnsi"/>
          <w:highlight w:val="green"/>
        </w:rPr>
        <w:t>green</w:t>
      </w:r>
      <w:r w:rsidR="00725B8C">
        <w:rPr>
          <w:rFonts w:eastAsiaTheme="minorHAnsi"/>
        </w:rPr>
        <w:t xml:space="preserve"> and </w:t>
      </w:r>
      <w:r w:rsidR="00725B8C" w:rsidRPr="00725B8C">
        <w:rPr>
          <w:rFonts w:eastAsiaTheme="minorHAnsi"/>
          <w:highlight w:val="yellow"/>
        </w:rPr>
        <w:t>yellow</w:t>
      </w:r>
      <w:r w:rsidR="00725B8C">
        <w:rPr>
          <w:rFonts w:eastAsiaTheme="minorHAnsi"/>
        </w:rPr>
        <w:t>.</w:t>
      </w:r>
    </w:p>
    <w:tbl>
      <w:tblPr>
        <w:tblStyle w:val="TableGrid"/>
        <w:tblW w:w="10790" w:type="dxa"/>
        <w:tblLook w:val="04A0" w:firstRow="1" w:lastRow="0" w:firstColumn="1" w:lastColumn="0" w:noHBand="0" w:noVBand="1"/>
      </w:tblPr>
      <w:tblGrid>
        <w:gridCol w:w="2515"/>
        <w:gridCol w:w="3150"/>
        <w:gridCol w:w="5125"/>
      </w:tblGrid>
      <w:tr w:rsidR="009B356A" w:rsidRPr="003F433B" w14:paraId="3F0DB4C4" w14:textId="77777777" w:rsidTr="006B2089">
        <w:tc>
          <w:tcPr>
            <w:tcW w:w="10790" w:type="dxa"/>
            <w:gridSpan w:val="3"/>
          </w:tcPr>
          <w:p w14:paraId="0EF3EE68" w14:textId="77777777" w:rsidR="009B356A" w:rsidRPr="003F433B" w:rsidRDefault="009B356A" w:rsidP="009B356A">
            <w:pPr>
              <w:jc w:val="center"/>
            </w:pPr>
            <w:r w:rsidRPr="003F433B">
              <w:rPr>
                <w:b/>
              </w:rPr>
              <w:t>For the 15-week SP 23 Semester</w:t>
            </w:r>
          </w:p>
        </w:tc>
      </w:tr>
      <w:tr w:rsidR="00337C48" w:rsidRPr="003F433B" w14:paraId="3C87AB81" w14:textId="77777777" w:rsidTr="003F433B">
        <w:trPr>
          <w:trHeight w:val="1052"/>
        </w:trPr>
        <w:tc>
          <w:tcPr>
            <w:tcW w:w="2515" w:type="dxa"/>
          </w:tcPr>
          <w:p w14:paraId="0BDCAAC2" w14:textId="77777777" w:rsidR="00337C48" w:rsidRPr="003F433B" w:rsidRDefault="00337C48" w:rsidP="00A77EA4">
            <w:r w:rsidRPr="003F433B">
              <w:br/>
              <w:t>Week 1 (Jan 17-21) – Week 8 (March 5-11)</w:t>
            </w:r>
          </w:p>
        </w:tc>
        <w:tc>
          <w:tcPr>
            <w:tcW w:w="8275" w:type="dxa"/>
            <w:gridSpan w:val="2"/>
          </w:tcPr>
          <w:p w14:paraId="2B8F8901" w14:textId="77777777" w:rsidR="00337C48" w:rsidRPr="003F433B" w:rsidRDefault="00337C48" w:rsidP="009B356A">
            <w:pPr>
              <w:jc w:val="center"/>
            </w:pPr>
            <w:r w:rsidRPr="003F433B">
              <w:br/>
              <w:t>Teacher and students working on together.</w:t>
            </w:r>
          </w:p>
        </w:tc>
      </w:tr>
      <w:tr w:rsidR="003F433B" w:rsidRPr="003F433B" w14:paraId="163A0641" w14:textId="77777777" w:rsidTr="003F433B">
        <w:trPr>
          <w:trHeight w:val="963"/>
        </w:trPr>
        <w:tc>
          <w:tcPr>
            <w:tcW w:w="2515" w:type="dxa"/>
            <w:vMerge w:val="restart"/>
            <w:shd w:val="clear" w:color="auto" w:fill="E2EFD9" w:themeFill="accent6" w:themeFillTint="33"/>
          </w:tcPr>
          <w:p w14:paraId="3BCB39EC" w14:textId="77777777" w:rsidR="003F433B" w:rsidRPr="003F433B" w:rsidRDefault="003F433B" w:rsidP="00725B8C">
            <w:pPr>
              <w:jc w:val="center"/>
            </w:pPr>
            <w:r w:rsidRPr="003F433B">
              <w:br/>
              <w:t>Spring Break Scheme 1</w:t>
            </w:r>
          </w:p>
          <w:p w14:paraId="7E79E633" w14:textId="77777777" w:rsidR="003F433B" w:rsidRPr="003F433B" w:rsidRDefault="003F433B" w:rsidP="00725B8C">
            <w:pPr>
              <w:jc w:val="center"/>
            </w:pPr>
            <w:r w:rsidRPr="003F433B">
              <w:t>Week 9 March 12-15</w:t>
            </w:r>
          </w:p>
        </w:tc>
        <w:tc>
          <w:tcPr>
            <w:tcW w:w="3150" w:type="dxa"/>
            <w:shd w:val="clear" w:color="auto" w:fill="E2EFD9" w:themeFill="accent6" w:themeFillTint="33"/>
          </w:tcPr>
          <w:p w14:paraId="25814012" w14:textId="77777777" w:rsidR="003F433B" w:rsidRPr="003F433B" w:rsidRDefault="003F433B" w:rsidP="009B356A">
            <w:pPr>
              <w:jc w:val="center"/>
            </w:pPr>
            <w:r w:rsidRPr="003F433B">
              <w:t>First Break (March 12-18)</w:t>
            </w:r>
          </w:p>
        </w:tc>
        <w:tc>
          <w:tcPr>
            <w:tcW w:w="5125" w:type="dxa"/>
            <w:vMerge w:val="restart"/>
            <w:shd w:val="clear" w:color="auto" w:fill="E2EFD9" w:themeFill="accent6" w:themeFillTint="33"/>
          </w:tcPr>
          <w:p w14:paraId="6A83AAA8" w14:textId="77777777" w:rsidR="003F433B" w:rsidRPr="003F433B" w:rsidRDefault="003F433B" w:rsidP="003F433B">
            <w:r w:rsidRPr="003F433B">
              <w:t>This option designs 2-calendar weeks to accomplish week 9 work and 2-weeks to complete week 10 work. These 2-week units overlap in the middle.</w:t>
            </w:r>
          </w:p>
          <w:p w14:paraId="5836F11B" w14:textId="77777777" w:rsidR="003F433B" w:rsidRPr="003F433B" w:rsidRDefault="003F433B" w:rsidP="003F433B">
            <w:r w:rsidRPr="003F433B">
              <w:t>Make the Week 9 deliverables due by March 25</w:t>
            </w:r>
            <w:r w:rsidRPr="003F433B">
              <w:rPr>
                <w:vertAlign w:val="superscript"/>
              </w:rPr>
              <w:t xml:space="preserve">th </w:t>
            </w:r>
            <w:r w:rsidRPr="003F433B">
              <w:t>and the Week 10 deliverables due by April 1</w:t>
            </w:r>
            <w:r w:rsidRPr="003F433B">
              <w:rPr>
                <w:vertAlign w:val="superscript"/>
              </w:rPr>
              <w:t>st</w:t>
            </w:r>
            <w:r w:rsidRPr="003F433B">
              <w:t xml:space="preserve">.  This allows each student to take the break of their choice while keeping student work synchronized as much as possible. </w:t>
            </w:r>
          </w:p>
          <w:p w14:paraId="5FB9DE96" w14:textId="77777777" w:rsidR="003F433B" w:rsidRDefault="003F433B" w:rsidP="003F433B">
            <w:r w:rsidRPr="003F433B">
              <w:t xml:space="preserve">Some students will have a week where they are working independently while their teacher is on break. This can work fine as long as student KNOW when their teacher is on </w:t>
            </w:r>
            <w:proofErr w:type="gramStart"/>
            <w:r w:rsidRPr="003F433B">
              <w:t>break</w:t>
            </w:r>
            <w:proofErr w:type="gramEnd"/>
            <w:r w:rsidRPr="003F433B">
              <w:t xml:space="preserve"> and they know exactly what they need to be doing during that week when they won’t be in contact with their teacher.</w:t>
            </w:r>
          </w:p>
          <w:p w14:paraId="4ECC7F3C" w14:textId="470D2E66" w:rsidR="005E3A8B" w:rsidRPr="003F433B" w:rsidRDefault="005E3A8B" w:rsidP="003F433B"/>
        </w:tc>
      </w:tr>
      <w:tr w:rsidR="003F433B" w:rsidRPr="003F433B" w14:paraId="0AC3E8F8" w14:textId="77777777" w:rsidTr="003F433B">
        <w:trPr>
          <w:trHeight w:val="1637"/>
        </w:trPr>
        <w:tc>
          <w:tcPr>
            <w:tcW w:w="2515" w:type="dxa"/>
            <w:vMerge/>
            <w:shd w:val="clear" w:color="auto" w:fill="E2EFD9" w:themeFill="accent6" w:themeFillTint="33"/>
          </w:tcPr>
          <w:p w14:paraId="4B0E9CD7" w14:textId="77777777" w:rsidR="003F433B" w:rsidRPr="003F433B" w:rsidRDefault="003F433B" w:rsidP="00725B8C">
            <w:pPr>
              <w:jc w:val="center"/>
            </w:pPr>
          </w:p>
        </w:tc>
        <w:tc>
          <w:tcPr>
            <w:tcW w:w="3150" w:type="dxa"/>
            <w:shd w:val="clear" w:color="auto" w:fill="E2EFD9" w:themeFill="accent6" w:themeFillTint="33"/>
          </w:tcPr>
          <w:p w14:paraId="0AA3CAE9" w14:textId="77777777" w:rsidR="003F433B" w:rsidRPr="003F433B" w:rsidRDefault="003F433B" w:rsidP="009B356A">
            <w:pPr>
              <w:jc w:val="center"/>
            </w:pPr>
            <w:r w:rsidRPr="003F433B">
              <w:t>Second Break (March 19-25)</w:t>
            </w:r>
          </w:p>
        </w:tc>
        <w:tc>
          <w:tcPr>
            <w:tcW w:w="5125" w:type="dxa"/>
            <w:vMerge/>
            <w:shd w:val="clear" w:color="auto" w:fill="E2EFD9" w:themeFill="accent6" w:themeFillTint="33"/>
          </w:tcPr>
          <w:p w14:paraId="48AC0836" w14:textId="77777777" w:rsidR="003F433B" w:rsidRPr="003F433B" w:rsidRDefault="003F433B" w:rsidP="003F433B"/>
        </w:tc>
      </w:tr>
      <w:tr w:rsidR="003F433B" w:rsidRPr="003F433B" w14:paraId="35944C1B" w14:textId="77777777" w:rsidTr="003F433B">
        <w:trPr>
          <w:trHeight w:val="651"/>
        </w:trPr>
        <w:tc>
          <w:tcPr>
            <w:tcW w:w="2515" w:type="dxa"/>
            <w:vMerge w:val="restart"/>
            <w:shd w:val="clear" w:color="auto" w:fill="E2EFD9" w:themeFill="accent6" w:themeFillTint="33"/>
          </w:tcPr>
          <w:p w14:paraId="18CD3468" w14:textId="77777777" w:rsidR="003F433B" w:rsidRPr="003F433B" w:rsidRDefault="003F433B" w:rsidP="00725B8C">
            <w:pPr>
              <w:jc w:val="center"/>
            </w:pPr>
            <w:r w:rsidRPr="003F433B">
              <w:t>Spring Break Scheme 1</w:t>
            </w:r>
          </w:p>
          <w:p w14:paraId="13604A1C" w14:textId="77777777" w:rsidR="003F433B" w:rsidRPr="003F433B" w:rsidRDefault="003F433B" w:rsidP="00725B8C">
            <w:pPr>
              <w:jc w:val="center"/>
            </w:pPr>
            <w:r w:rsidRPr="003F433B">
              <w:t>Week 10 March 19- April 1)</w:t>
            </w:r>
          </w:p>
        </w:tc>
        <w:tc>
          <w:tcPr>
            <w:tcW w:w="3150" w:type="dxa"/>
            <w:shd w:val="clear" w:color="auto" w:fill="E2EFD9" w:themeFill="accent6" w:themeFillTint="33"/>
          </w:tcPr>
          <w:p w14:paraId="7007BCDB" w14:textId="77777777" w:rsidR="003F433B" w:rsidRPr="003F433B" w:rsidRDefault="003F433B" w:rsidP="003F433B">
            <w:pPr>
              <w:jc w:val="center"/>
            </w:pPr>
            <w:r w:rsidRPr="003F433B">
              <w:t>First Break (March 12-18)</w:t>
            </w:r>
          </w:p>
        </w:tc>
        <w:tc>
          <w:tcPr>
            <w:tcW w:w="5125" w:type="dxa"/>
            <w:vMerge/>
            <w:shd w:val="clear" w:color="auto" w:fill="E2EFD9" w:themeFill="accent6" w:themeFillTint="33"/>
          </w:tcPr>
          <w:p w14:paraId="73E50F99" w14:textId="77777777" w:rsidR="003F433B" w:rsidRPr="003F433B" w:rsidRDefault="003F433B" w:rsidP="003F433B">
            <w:pPr>
              <w:jc w:val="center"/>
            </w:pPr>
          </w:p>
        </w:tc>
      </w:tr>
      <w:tr w:rsidR="003F433B" w:rsidRPr="003F433B" w14:paraId="44EC5028" w14:textId="77777777" w:rsidTr="00725B8C">
        <w:trPr>
          <w:trHeight w:val="1520"/>
        </w:trPr>
        <w:tc>
          <w:tcPr>
            <w:tcW w:w="2515" w:type="dxa"/>
            <w:vMerge/>
            <w:shd w:val="clear" w:color="auto" w:fill="E2EFD9" w:themeFill="accent6" w:themeFillTint="33"/>
          </w:tcPr>
          <w:p w14:paraId="15387477" w14:textId="77777777" w:rsidR="003F433B" w:rsidRPr="003F433B" w:rsidRDefault="003F433B" w:rsidP="003F433B"/>
        </w:tc>
        <w:tc>
          <w:tcPr>
            <w:tcW w:w="3150" w:type="dxa"/>
            <w:shd w:val="clear" w:color="auto" w:fill="E2EFD9" w:themeFill="accent6" w:themeFillTint="33"/>
          </w:tcPr>
          <w:p w14:paraId="31D8A5BD" w14:textId="77777777" w:rsidR="003F433B" w:rsidRPr="003F433B" w:rsidRDefault="003F433B" w:rsidP="003F433B">
            <w:pPr>
              <w:jc w:val="center"/>
            </w:pPr>
            <w:r w:rsidRPr="003F433B">
              <w:t>Second Break (March 19-25)</w:t>
            </w:r>
          </w:p>
        </w:tc>
        <w:tc>
          <w:tcPr>
            <w:tcW w:w="5125" w:type="dxa"/>
            <w:vMerge/>
            <w:shd w:val="clear" w:color="auto" w:fill="E2EFD9" w:themeFill="accent6" w:themeFillTint="33"/>
          </w:tcPr>
          <w:p w14:paraId="5F5B1974" w14:textId="77777777" w:rsidR="003F433B" w:rsidRPr="003F433B" w:rsidRDefault="003F433B" w:rsidP="003F433B">
            <w:pPr>
              <w:jc w:val="center"/>
            </w:pPr>
          </w:p>
        </w:tc>
      </w:tr>
      <w:tr w:rsidR="00725B8C" w:rsidRPr="003F433B" w14:paraId="0067E428" w14:textId="77777777" w:rsidTr="00312D8C">
        <w:trPr>
          <w:trHeight w:val="665"/>
        </w:trPr>
        <w:tc>
          <w:tcPr>
            <w:tcW w:w="10790" w:type="dxa"/>
            <w:gridSpan w:val="3"/>
            <w:shd w:val="clear" w:color="auto" w:fill="000000" w:themeFill="text1"/>
          </w:tcPr>
          <w:p w14:paraId="38CBE047" w14:textId="77777777" w:rsidR="00725B8C" w:rsidRPr="00725B8C" w:rsidRDefault="00725B8C" w:rsidP="00725B8C">
            <w:pPr>
              <w:jc w:val="center"/>
              <w:rPr>
                <w:b/>
              </w:rPr>
            </w:pPr>
            <w:r w:rsidRPr="00725B8C">
              <w:rPr>
                <w:b/>
              </w:rPr>
              <w:lastRenderedPageBreak/>
              <w:t>Variation 2 below</w:t>
            </w:r>
          </w:p>
        </w:tc>
      </w:tr>
      <w:tr w:rsidR="009B356A" w:rsidRPr="003F433B" w14:paraId="11F41DC2" w14:textId="77777777" w:rsidTr="003F433B">
        <w:trPr>
          <w:trHeight w:val="665"/>
        </w:trPr>
        <w:tc>
          <w:tcPr>
            <w:tcW w:w="2515" w:type="dxa"/>
            <w:vMerge w:val="restart"/>
            <w:shd w:val="clear" w:color="auto" w:fill="FFF2CC" w:themeFill="accent4" w:themeFillTint="33"/>
          </w:tcPr>
          <w:p w14:paraId="2CA87646" w14:textId="77777777" w:rsidR="00337C48" w:rsidRPr="003F433B" w:rsidRDefault="009B356A" w:rsidP="009B356A">
            <w:pPr>
              <w:jc w:val="center"/>
            </w:pPr>
            <w:r w:rsidRPr="003F433B">
              <w:br/>
            </w:r>
            <w:r w:rsidR="00337C48" w:rsidRPr="003F433B">
              <w:t xml:space="preserve">Spring Break Scheme </w:t>
            </w:r>
            <w:r w:rsidR="003F433B" w:rsidRPr="003F433B">
              <w:t>2</w:t>
            </w:r>
          </w:p>
          <w:p w14:paraId="55CE278F" w14:textId="77777777" w:rsidR="009B356A" w:rsidRPr="003F433B" w:rsidRDefault="009B356A" w:rsidP="009B356A">
            <w:pPr>
              <w:jc w:val="center"/>
            </w:pPr>
            <w:r w:rsidRPr="003F433B">
              <w:t>Weeks 9/10</w:t>
            </w:r>
          </w:p>
          <w:p w14:paraId="60D06FCA" w14:textId="77777777" w:rsidR="009B356A" w:rsidRPr="003F433B" w:rsidRDefault="009B356A" w:rsidP="009B356A">
            <w:pPr>
              <w:jc w:val="center"/>
            </w:pPr>
            <w:r w:rsidRPr="003F433B">
              <w:t>(March 12 – April 1)</w:t>
            </w:r>
          </w:p>
        </w:tc>
        <w:tc>
          <w:tcPr>
            <w:tcW w:w="3150" w:type="dxa"/>
            <w:shd w:val="clear" w:color="auto" w:fill="FFF2CC" w:themeFill="accent4" w:themeFillTint="33"/>
          </w:tcPr>
          <w:p w14:paraId="375D863B" w14:textId="77777777" w:rsidR="009B356A" w:rsidRPr="003F433B" w:rsidRDefault="009B356A" w:rsidP="009B356A">
            <w:r w:rsidRPr="003F433B">
              <w:t>First Break (March 12-18)</w:t>
            </w:r>
          </w:p>
        </w:tc>
        <w:tc>
          <w:tcPr>
            <w:tcW w:w="5125" w:type="dxa"/>
            <w:vMerge w:val="restart"/>
            <w:shd w:val="clear" w:color="auto" w:fill="FFF2CC" w:themeFill="accent4" w:themeFillTint="33"/>
          </w:tcPr>
          <w:p w14:paraId="19F343DA" w14:textId="77777777" w:rsidR="00337C48" w:rsidRDefault="00725B8C" w:rsidP="009B356A">
            <w:r>
              <w:t>This option designs 3-calendar weeks to accomplish a 2-week unit of coursework.</w:t>
            </w:r>
          </w:p>
          <w:p w14:paraId="247EC170" w14:textId="77777777" w:rsidR="00725B8C" w:rsidRPr="003F433B" w:rsidRDefault="00725B8C" w:rsidP="00725B8C">
            <w:r w:rsidRPr="003F433B">
              <w:t>Make the Week 9</w:t>
            </w:r>
            <w:r>
              <w:t>&amp;10</w:t>
            </w:r>
            <w:r w:rsidRPr="003F433B">
              <w:t xml:space="preserve"> deliverables due by April 1</w:t>
            </w:r>
            <w:r w:rsidRPr="003F433B">
              <w:rPr>
                <w:vertAlign w:val="superscript"/>
              </w:rPr>
              <w:t>st</w:t>
            </w:r>
            <w:r w:rsidRPr="003F433B">
              <w:t>.  This allows each student to take the break of their choice</w:t>
            </w:r>
            <w:r>
              <w:t xml:space="preserve"> and they will always have 2-calendar weeks to complete 2-weeks of coursework.</w:t>
            </w:r>
          </w:p>
          <w:p w14:paraId="2DCFA4DA" w14:textId="77777777" w:rsidR="00337C48" w:rsidRPr="003F433B" w:rsidRDefault="00725B8C" w:rsidP="00725B8C">
            <w:r w:rsidRPr="003F433B">
              <w:t>Some students will have a week where they are working independently while their teacher is on break. This can work fine as long as student KNOW when their teacher is on break and they know exactly what they need to be doing during that week when they won’t be in contact with their teacher.</w:t>
            </w:r>
          </w:p>
        </w:tc>
      </w:tr>
      <w:tr w:rsidR="009B356A" w:rsidRPr="003F433B" w14:paraId="1DE45E4B" w14:textId="77777777" w:rsidTr="003F433B">
        <w:trPr>
          <w:trHeight w:val="989"/>
        </w:trPr>
        <w:tc>
          <w:tcPr>
            <w:tcW w:w="2515" w:type="dxa"/>
            <w:vMerge/>
            <w:shd w:val="clear" w:color="auto" w:fill="FFF2CC" w:themeFill="accent4" w:themeFillTint="33"/>
          </w:tcPr>
          <w:p w14:paraId="5D2657CB" w14:textId="77777777" w:rsidR="009B356A" w:rsidRPr="003F433B" w:rsidRDefault="009B356A" w:rsidP="009B356A"/>
        </w:tc>
        <w:tc>
          <w:tcPr>
            <w:tcW w:w="3150" w:type="dxa"/>
            <w:shd w:val="clear" w:color="auto" w:fill="FFF2CC" w:themeFill="accent4" w:themeFillTint="33"/>
          </w:tcPr>
          <w:p w14:paraId="2302E90E" w14:textId="77777777" w:rsidR="009B356A" w:rsidRPr="003F433B" w:rsidRDefault="009B356A" w:rsidP="009B356A">
            <w:r w:rsidRPr="003F433B">
              <w:t>Second Break (March 19-25)</w:t>
            </w:r>
          </w:p>
        </w:tc>
        <w:tc>
          <w:tcPr>
            <w:tcW w:w="5125" w:type="dxa"/>
            <w:vMerge/>
            <w:shd w:val="clear" w:color="auto" w:fill="FFF2CC" w:themeFill="accent4" w:themeFillTint="33"/>
          </w:tcPr>
          <w:p w14:paraId="41B37D8D" w14:textId="77777777" w:rsidR="009B356A" w:rsidRPr="003F433B" w:rsidRDefault="009B356A" w:rsidP="009B356A"/>
        </w:tc>
      </w:tr>
      <w:tr w:rsidR="009B356A" w:rsidRPr="003F433B" w14:paraId="77ABA858" w14:textId="77777777" w:rsidTr="003F433B">
        <w:trPr>
          <w:trHeight w:val="512"/>
        </w:trPr>
        <w:tc>
          <w:tcPr>
            <w:tcW w:w="2515" w:type="dxa"/>
            <w:vMerge/>
            <w:shd w:val="clear" w:color="auto" w:fill="FFF2CC" w:themeFill="accent4" w:themeFillTint="33"/>
          </w:tcPr>
          <w:p w14:paraId="5D023571" w14:textId="77777777" w:rsidR="009B356A" w:rsidRPr="003F433B" w:rsidRDefault="009B356A" w:rsidP="009B356A"/>
        </w:tc>
        <w:tc>
          <w:tcPr>
            <w:tcW w:w="3150" w:type="dxa"/>
            <w:shd w:val="clear" w:color="auto" w:fill="FFF2CC" w:themeFill="accent4" w:themeFillTint="33"/>
          </w:tcPr>
          <w:p w14:paraId="38C913DB" w14:textId="77777777" w:rsidR="009B356A" w:rsidRPr="003F433B" w:rsidRDefault="009B356A" w:rsidP="009B356A">
            <w:r w:rsidRPr="003F433B">
              <w:t>Third Break (Mar 26-April 1)</w:t>
            </w:r>
          </w:p>
        </w:tc>
        <w:tc>
          <w:tcPr>
            <w:tcW w:w="5125" w:type="dxa"/>
            <w:vMerge/>
            <w:shd w:val="clear" w:color="auto" w:fill="FFF2CC" w:themeFill="accent4" w:themeFillTint="33"/>
          </w:tcPr>
          <w:p w14:paraId="150B904D" w14:textId="77777777" w:rsidR="009B356A" w:rsidRPr="003F433B" w:rsidRDefault="009B356A" w:rsidP="009B356A"/>
        </w:tc>
      </w:tr>
      <w:tr w:rsidR="00337C48" w:rsidRPr="003F433B" w14:paraId="4CD92F82" w14:textId="77777777" w:rsidTr="00BA3973">
        <w:tc>
          <w:tcPr>
            <w:tcW w:w="2515" w:type="dxa"/>
          </w:tcPr>
          <w:p w14:paraId="0F663806" w14:textId="77777777" w:rsidR="00337C48" w:rsidRPr="003F433B" w:rsidRDefault="00337C48" w:rsidP="00A77EA4">
            <w:r w:rsidRPr="003F433B">
              <w:t>Week 11 (April 2-8) – Week 16 (May 8</w:t>
            </w:r>
            <w:r w:rsidRPr="003F433B">
              <w:rPr>
                <w:vertAlign w:val="superscript"/>
              </w:rPr>
              <w:t>th</w:t>
            </w:r>
            <w:r w:rsidRPr="003F433B">
              <w:t>)</w:t>
            </w:r>
          </w:p>
        </w:tc>
        <w:tc>
          <w:tcPr>
            <w:tcW w:w="8275" w:type="dxa"/>
            <w:gridSpan w:val="2"/>
          </w:tcPr>
          <w:p w14:paraId="5F8001FD" w14:textId="77777777" w:rsidR="00337C48" w:rsidRPr="003F433B" w:rsidRDefault="00337C48" w:rsidP="00337C48">
            <w:pPr>
              <w:jc w:val="center"/>
            </w:pPr>
            <w:r w:rsidRPr="003F433B">
              <w:t>Teacher and students working on together.</w:t>
            </w:r>
          </w:p>
        </w:tc>
      </w:tr>
    </w:tbl>
    <w:p w14:paraId="43007DF2" w14:textId="77777777" w:rsidR="00427E9E" w:rsidRDefault="00427E9E" w:rsidP="00A3167F">
      <w:pPr>
        <w:rPr>
          <w:b/>
        </w:rPr>
      </w:pPr>
    </w:p>
    <w:p w14:paraId="04EC8017" w14:textId="77777777" w:rsidR="00427E9E" w:rsidRDefault="00725B8C" w:rsidP="00A3167F">
      <w:pPr>
        <w:rPr>
          <w:b/>
        </w:rPr>
      </w:pPr>
      <w:r>
        <w:rPr>
          <w:b/>
        </w:rPr>
        <w:t>Spring Break Schemes in the Syllabus</w:t>
      </w:r>
    </w:p>
    <w:p w14:paraId="7FFA974B" w14:textId="77777777" w:rsidR="00725B8C" w:rsidRPr="00725B8C" w:rsidRDefault="00725B8C" w:rsidP="00A3167F">
      <w:r w:rsidRPr="00725B8C">
        <w:t>Just make sure to address this up front. I suggest including information about Spring Breaks in the Important Dates section or somewhere else that make sense. Here’s an example pulled from an online syllabus of mine from a few Spring semester ago.</w:t>
      </w:r>
    </w:p>
    <w:p w14:paraId="4B8B0724" w14:textId="77777777" w:rsidR="00725B8C" w:rsidRPr="00541371" w:rsidRDefault="00725B8C" w:rsidP="00725B8C">
      <w:pPr>
        <w:pStyle w:val="NormalWeb"/>
        <w:rPr>
          <w:sz w:val="28"/>
          <w:szCs w:val="28"/>
        </w:rPr>
      </w:pPr>
      <w:r w:rsidRPr="00541371">
        <w:rPr>
          <w:rStyle w:val="Strong"/>
          <w:sz w:val="28"/>
          <w:szCs w:val="28"/>
        </w:rPr>
        <w:t>Important Dates</w:t>
      </w:r>
    </w:p>
    <w:p w14:paraId="2F9DC353" w14:textId="77777777" w:rsidR="00725B8C" w:rsidRPr="00674610" w:rsidRDefault="00725B8C" w:rsidP="00725B8C">
      <w:pPr>
        <w:pStyle w:val="ListParagraph"/>
        <w:numPr>
          <w:ilvl w:val="0"/>
          <w:numId w:val="3"/>
        </w:numPr>
      </w:pPr>
      <w:r w:rsidRPr="00674610">
        <w:rPr>
          <w:b/>
          <w:color w:val="3366FF"/>
        </w:rPr>
        <w:t>Course Run Dates:</w:t>
      </w:r>
      <w:r w:rsidRPr="00674610">
        <w:t xml:space="preserve"> This is a 15-week course that starts </w:t>
      </w:r>
      <w:r>
        <w:t>Jan 21</w:t>
      </w:r>
      <w:r w:rsidRPr="008A5D53">
        <w:rPr>
          <w:vertAlign w:val="superscript"/>
        </w:rPr>
        <w:t>st</w:t>
      </w:r>
      <w:r>
        <w:t xml:space="preserve"> and </w:t>
      </w:r>
      <w:r w:rsidRPr="00674610">
        <w:t xml:space="preserve">ends </w:t>
      </w:r>
      <w:r>
        <w:t>May 9</w:t>
      </w:r>
      <w:r w:rsidRPr="008A5D53">
        <w:rPr>
          <w:vertAlign w:val="superscript"/>
        </w:rPr>
        <w:t>th</w:t>
      </w:r>
      <w:r>
        <w:t xml:space="preserve"> </w:t>
      </w:r>
      <w:r w:rsidRPr="00674610">
        <w:t xml:space="preserve"> </w:t>
      </w:r>
    </w:p>
    <w:p w14:paraId="525B196C" w14:textId="77777777" w:rsidR="00725B8C" w:rsidRPr="00674610" w:rsidRDefault="00725B8C" w:rsidP="00725B8C">
      <w:pPr>
        <w:pStyle w:val="ListParagraph"/>
        <w:numPr>
          <w:ilvl w:val="0"/>
          <w:numId w:val="3"/>
        </w:numPr>
        <w:rPr>
          <w:b/>
          <w:color w:val="3366FF"/>
        </w:rPr>
      </w:pPr>
      <w:r w:rsidRPr="00674610">
        <w:rPr>
          <w:b/>
          <w:color w:val="3366FF"/>
        </w:rPr>
        <w:t xml:space="preserve">Course Drop Dates: </w:t>
      </w:r>
      <w:r>
        <w:t>Feb 5</w:t>
      </w:r>
      <w:r w:rsidRPr="008A5D53">
        <w:rPr>
          <w:vertAlign w:val="superscript"/>
        </w:rPr>
        <w:t>th</w:t>
      </w:r>
      <w:r>
        <w:t xml:space="preserve"> </w:t>
      </w:r>
      <w:r w:rsidRPr="00674610">
        <w:t xml:space="preserve">is the last day to drop with a refund. </w:t>
      </w:r>
      <w:r>
        <w:t>April 19</w:t>
      </w:r>
      <w:r w:rsidRPr="008A5D53">
        <w:rPr>
          <w:vertAlign w:val="superscript"/>
        </w:rPr>
        <w:t>th</w:t>
      </w:r>
      <w:r>
        <w:t xml:space="preserve"> </w:t>
      </w:r>
      <w:r w:rsidRPr="00674610">
        <w:t>is the last day to withdraw with a “W” recorded.</w:t>
      </w:r>
    </w:p>
    <w:p w14:paraId="0BEB2F03" w14:textId="77777777" w:rsidR="00725B8C" w:rsidRPr="005E48FD" w:rsidRDefault="00725B8C" w:rsidP="00725B8C">
      <w:pPr>
        <w:pStyle w:val="ListParagraph"/>
        <w:numPr>
          <w:ilvl w:val="0"/>
          <w:numId w:val="3"/>
        </w:numPr>
        <w:rPr>
          <w:color w:val="3366FF"/>
        </w:rPr>
      </w:pPr>
      <w:r>
        <w:rPr>
          <w:b/>
          <w:color w:val="3366FF"/>
        </w:rPr>
        <w:t>Spring Break:</w:t>
      </w:r>
      <w:r w:rsidRPr="00674610">
        <w:rPr>
          <w:b/>
          <w:color w:val="3366FF"/>
        </w:rPr>
        <w:t xml:space="preserve"> </w:t>
      </w:r>
      <w:r>
        <w:t xml:space="preserve">Larimer Campus Spring Break: March 17-23 and Westminster and Boulder County Campus: March 24-March 30.  </w:t>
      </w:r>
      <w:r w:rsidRPr="00674610">
        <w:rPr>
          <w:b/>
        </w:rPr>
        <w:t xml:space="preserve"> </w:t>
      </w:r>
      <w:r w:rsidRPr="008A5D53">
        <w:t>Since we have students from all campuses in our classes, we will discuss how Spring Break will work a bit later this semester. You will get spring break!</w:t>
      </w:r>
    </w:p>
    <w:p w14:paraId="58773358" w14:textId="77777777" w:rsidR="005E48FD" w:rsidRDefault="005E48FD" w:rsidP="005E48FD">
      <w:r>
        <w:br/>
        <w:t xml:space="preserve">I hope this short guide was useful.  </w:t>
      </w:r>
      <w:r>
        <w:br/>
      </w:r>
      <w:r>
        <w:br/>
        <w:t>Eric Salahub</w:t>
      </w:r>
      <w:r>
        <w:br/>
        <w:t>Philosophy Faculty at FRCC</w:t>
      </w:r>
      <w:r>
        <w:br/>
        <w:t>Co-Director of the Active Learning Institute</w:t>
      </w:r>
      <w:r>
        <w:br/>
        <w:t>Long time Instructional Coach including for Online Teacher!</w:t>
      </w:r>
      <w:r>
        <w:br/>
      </w:r>
      <w:hyperlink r:id="rId8" w:history="1">
        <w:r w:rsidRPr="00161377">
          <w:rPr>
            <w:rStyle w:val="Hyperlink"/>
          </w:rPr>
          <w:t>eric.salahub@frontrange.edu</w:t>
        </w:r>
      </w:hyperlink>
    </w:p>
    <w:p w14:paraId="6FF9AC14" w14:textId="77777777" w:rsidR="005E48FD" w:rsidRDefault="005E48FD" w:rsidP="005E48FD"/>
    <w:p w14:paraId="584B77CC" w14:textId="77777777" w:rsidR="00EA0DF7" w:rsidRDefault="00EA0DF7" w:rsidP="005E48FD"/>
    <w:p w14:paraId="623FA2C0" w14:textId="77777777" w:rsidR="00EA0DF7" w:rsidRDefault="00EA0DF7" w:rsidP="00EA0DF7">
      <w:pPr>
        <w:rPr>
          <w:b/>
        </w:rPr>
      </w:pPr>
    </w:p>
    <w:p w14:paraId="3E539131" w14:textId="06E7A693" w:rsidR="00EA0DF7" w:rsidRPr="008C3FAE" w:rsidRDefault="00EA0DF7" w:rsidP="00EA0DF7">
      <w:pPr>
        <w:jc w:val="center"/>
        <w:rPr>
          <w:sz w:val="24"/>
          <w:szCs w:val="24"/>
        </w:rPr>
      </w:pPr>
      <w:r>
        <w:rPr>
          <w:sz w:val="24"/>
          <w:szCs w:val="24"/>
        </w:rPr>
        <w:t>Laylonda Maines</w:t>
      </w:r>
      <w:r w:rsidRPr="008C3FAE">
        <w:rPr>
          <w:sz w:val="24"/>
          <w:szCs w:val="24"/>
        </w:rPr>
        <w:t xml:space="preserve"> </w:t>
      </w:r>
      <w:r>
        <w:rPr>
          <w:sz w:val="24"/>
          <w:szCs w:val="24"/>
        </w:rPr>
        <w:t>CCD, C</w:t>
      </w:r>
      <w:r w:rsidR="00F53D7D">
        <w:rPr>
          <w:sz w:val="24"/>
          <w:szCs w:val="24"/>
        </w:rPr>
        <w:t>CCO</w:t>
      </w:r>
      <w:r w:rsidR="007B4FA6">
        <w:rPr>
          <w:sz w:val="24"/>
          <w:szCs w:val="24"/>
        </w:rPr>
        <w:t>, FRCC</w:t>
      </w:r>
      <w:r>
        <w:rPr>
          <w:sz w:val="24"/>
          <w:szCs w:val="24"/>
        </w:rPr>
        <w:t xml:space="preserve"> Biology Faculty &amp; </w:t>
      </w:r>
      <w:r w:rsidR="00F53D7D">
        <w:rPr>
          <w:sz w:val="24"/>
          <w:szCs w:val="24"/>
        </w:rPr>
        <w:t>OFIAC Adjunct Rep</w:t>
      </w:r>
    </w:p>
    <w:p w14:paraId="26F5DECB" w14:textId="77777777" w:rsidR="00EA0DF7" w:rsidRDefault="00EA0DF7" w:rsidP="00EA0DF7">
      <w:pPr>
        <w:rPr>
          <w:b/>
        </w:rPr>
      </w:pPr>
      <w:r>
        <w:rPr>
          <w:b/>
        </w:rPr>
        <w:t xml:space="preserve">Some Faculty </w:t>
      </w:r>
      <w:r w:rsidR="003F360C">
        <w:rPr>
          <w:b/>
        </w:rPr>
        <w:t>S</w:t>
      </w:r>
      <w:r>
        <w:rPr>
          <w:b/>
        </w:rPr>
        <w:t xml:space="preserve">pecific </w:t>
      </w:r>
      <w:r w:rsidR="003F360C">
        <w:rPr>
          <w:b/>
        </w:rPr>
        <w:t>E</w:t>
      </w:r>
      <w:r>
        <w:rPr>
          <w:b/>
        </w:rPr>
        <w:t xml:space="preserve">xamples:  </w:t>
      </w:r>
    </w:p>
    <w:p w14:paraId="4170CAFE" w14:textId="77777777" w:rsidR="00EA0DF7" w:rsidRDefault="00EA0DF7" w:rsidP="00EA0DF7">
      <w:pPr>
        <w:pStyle w:val="ListParagraph"/>
        <w:numPr>
          <w:ilvl w:val="0"/>
          <w:numId w:val="5"/>
        </w:numPr>
        <w:rPr>
          <w:b/>
        </w:rPr>
      </w:pPr>
      <w:r w:rsidRPr="005D7FEB">
        <w:rPr>
          <w:b/>
        </w:rPr>
        <w:t xml:space="preserve">I have my assignments due at the end of both Spring Breaks to allow for students to </w:t>
      </w:r>
      <w:r>
        <w:rPr>
          <w:b/>
        </w:rPr>
        <w:t>cho</w:t>
      </w:r>
      <w:r w:rsidR="00F53D7D">
        <w:rPr>
          <w:b/>
        </w:rPr>
        <w:t>o</w:t>
      </w:r>
      <w:r>
        <w:rPr>
          <w:b/>
        </w:rPr>
        <w:t>se which one works best for them. For example, I will give them two weeks to comp</w:t>
      </w:r>
      <w:r w:rsidR="00F53D7D">
        <w:rPr>
          <w:b/>
        </w:rPr>
        <w:t>l</w:t>
      </w:r>
      <w:r>
        <w:rPr>
          <w:b/>
        </w:rPr>
        <w:t xml:space="preserve">ete assignments and they are all due by Sunday and/or Monday end of day. </w:t>
      </w:r>
    </w:p>
    <w:p w14:paraId="1F28436C" w14:textId="77777777" w:rsidR="00EA0DF7" w:rsidRPr="003F360C" w:rsidRDefault="00EA0DF7" w:rsidP="00EA0DF7">
      <w:pPr>
        <w:pStyle w:val="ListParagraph"/>
        <w:numPr>
          <w:ilvl w:val="0"/>
          <w:numId w:val="5"/>
        </w:numPr>
      </w:pPr>
      <w:r w:rsidRPr="003F360C">
        <w:t xml:space="preserve">I check in with students via Video </w:t>
      </w:r>
      <w:r w:rsidR="003F360C" w:rsidRPr="003F360C">
        <w:t xml:space="preserve">and Regular </w:t>
      </w:r>
      <w:r w:rsidRPr="003F360C">
        <w:t xml:space="preserve">Announcement explaining what is going on and which Spring Break I will be on. I find it easier </w:t>
      </w:r>
      <w:r w:rsidR="00F53D7D" w:rsidRPr="003F360C">
        <w:t>to wait to</w:t>
      </w:r>
      <w:r w:rsidRPr="003F360C">
        <w:t xml:space="preserve"> grade anything until after Spring Break is over. </w:t>
      </w:r>
    </w:p>
    <w:p w14:paraId="66AF5535" w14:textId="77777777" w:rsidR="00F53D7D" w:rsidRDefault="00EA0DF7" w:rsidP="00EA0DF7">
      <w:pPr>
        <w:pStyle w:val="ListParagraph"/>
        <w:numPr>
          <w:ilvl w:val="0"/>
          <w:numId w:val="5"/>
        </w:numPr>
        <w:rPr>
          <w:b/>
        </w:rPr>
      </w:pPr>
      <w:r>
        <w:rPr>
          <w:b/>
        </w:rPr>
        <w:t>If you have a circumstance where you have three different Spring Breaks, I usually give everyone two weeks to do the assignment</w:t>
      </w:r>
      <w:r w:rsidR="00F53D7D">
        <w:rPr>
          <w:b/>
        </w:rPr>
        <w:t>s</w:t>
      </w:r>
      <w:r>
        <w:rPr>
          <w:b/>
        </w:rPr>
        <w:t xml:space="preserve"> and I start grading on week three for me. </w:t>
      </w:r>
      <w:r w:rsidR="00F53D7D">
        <w:rPr>
          <w:b/>
        </w:rPr>
        <w:t xml:space="preserve">The students who have the late Spring Break should have already completed the assignment, because they had two weeks to do it. </w:t>
      </w:r>
    </w:p>
    <w:p w14:paraId="6F64BD53" w14:textId="58BC862C" w:rsidR="00EA0DF7" w:rsidRDefault="00EA0DF7" w:rsidP="00EA0DF7">
      <w:pPr>
        <w:pStyle w:val="ListParagraph"/>
        <w:numPr>
          <w:ilvl w:val="0"/>
          <w:numId w:val="5"/>
        </w:numPr>
      </w:pPr>
      <w:r w:rsidRPr="003F360C">
        <w:t xml:space="preserve">Once again, you should do a video announcement at beginning and then I send out an announcement letting them know what Spring Break we are on. I remind them that assignments will be coming due so be mindful that you do not get two weeks off. </w:t>
      </w:r>
      <w:r w:rsidR="00F53D7D" w:rsidRPr="003F360C">
        <w:t xml:space="preserve"> The chart below is on my syllabus and I make sure to remind them. It can be confusing at first. </w:t>
      </w:r>
      <w:r w:rsidR="003F360C">
        <w:t xml:space="preserve">Another thing, I send out Intelligent Agent to help guide them (it starts in the middle and continues until the end of Spring Break or that Monday). </w:t>
      </w:r>
      <w:r w:rsidR="000C3C49">
        <w:t xml:space="preserve">It will alert the student when they have completed the assignments that you deem are important. </w:t>
      </w:r>
    </w:p>
    <w:tbl>
      <w:tblPr>
        <w:tblStyle w:val="TableGrid1"/>
        <w:tblW w:w="9712" w:type="dxa"/>
        <w:tblInd w:w="715" w:type="dxa"/>
        <w:tblLayout w:type="fixed"/>
        <w:tblLook w:val="04A0" w:firstRow="1" w:lastRow="0" w:firstColumn="1" w:lastColumn="0" w:noHBand="0" w:noVBand="1"/>
      </w:tblPr>
      <w:tblGrid>
        <w:gridCol w:w="811"/>
        <w:gridCol w:w="1262"/>
        <w:gridCol w:w="1262"/>
        <w:gridCol w:w="1262"/>
        <w:gridCol w:w="1262"/>
        <w:gridCol w:w="1083"/>
        <w:gridCol w:w="1262"/>
        <w:gridCol w:w="1508"/>
      </w:tblGrid>
      <w:tr w:rsidR="005B0CAF" w14:paraId="7D5F6814" w14:textId="77777777" w:rsidTr="005B0CAF">
        <w:trPr>
          <w:trHeight w:val="548"/>
        </w:trPr>
        <w:tc>
          <w:tcPr>
            <w:tcW w:w="811" w:type="dxa"/>
          </w:tcPr>
          <w:p w14:paraId="2AAFF202" w14:textId="367C6B34" w:rsidR="005B0CAF" w:rsidRPr="005B0CAF" w:rsidRDefault="005B0CAF" w:rsidP="005B0CAF">
            <w:pPr>
              <w:jc w:val="center"/>
            </w:pPr>
            <w:r w:rsidRPr="005B0CAF">
              <w:t>Week</w:t>
            </w:r>
          </w:p>
        </w:tc>
        <w:tc>
          <w:tcPr>
            <w:tcW w:w="1262" w:type="dxa"/>
          </w:tcPr>
          <w:p w14:paraId="3AE40447" w14:textId="345DF28D" w:rsidR="005B0CAF" w:rsidRPr="005B0CAF" w:rsidRDefault="005B0CAF" w:rsidP="005B0CAF">
            <w:pPr>
              <w:jc w:val="center"/>
            </w:pPr>
            <w:r w:rsidRPr="005B0CAF">
              <w:t>Date</w:t>
            </w:r>
          </w:p>
        </w:tc>
        <w:tc>
          <w:tcPr>
            <w:tcW w:w="1262" w:type="dxa"/>
          </w:tcPr>
          <w:p w14:paraId="5884F18E" w14:textId="6036DCC2" w:rsidR="005B0CAF" w:rsidRPr="005B0CAF" w:rsidRDefault="005B0CAF" w:rsidP="005B0CAF">
            <w:pPr>
              <w:jc w:val="center"/>
            </w:pPr>
            <w:r w:rsidRPr="005B0CAF">
              <w:t>Topic</w:t>
            </w:r>
          </w:p>
        </w:tc>
        <w:tc>
          <w:tcPr>
            <w:tcW w:w="1262" w:type="dxa"/>
          </w:tcPr>
          <w:p w14:paraId="7F33C5A6" w14:textId="11C82F3E" w:rsidR="005B0CAF" w:rsidRPr="005B0CAF" w:rsidRDefault="005B0CAF" w:rsidP="005B0CAF">
            <w:pPr>
              <w:jc w:val="center"/>
            </w:pPr>
            <w:r w:rsidRPr="005B0CAF">
              <w:t>Concept Check</w:t>
            </w:r>
          </w:p>
        </w:tc>
        <w:tc>
          <w:tcPr>
            <w:tcW w:w="1262" w:type="dxa"/>
          </w:tcPr>
          <w:p w14:paraId="0032752F" w14:textId="12E059F2" w:rsidR="005B0CAF" w:rsidRPr="005B0CAF" w:rsidRDefault="005B0CAF" w:rsidP="005B0CAF">
            <w:pPr>
              <w:jc w:val="center"/>
            </w:pPr>
            <w:r w:rsidRPr="005B0CAF">
              <w:t>Discussions</w:t>
            </w:r>
          </w:p>
        </w:tc>
        <w:tc>
          <w:tcPr>
            <w:tcW w:w="1083" w:type="dxa"/>
          </w:tcPr>
          <w:p w14:paraId="2AC63390" w14:textId="68945E90" w:rsidR="005B0CAF" w:rsidRPr="005B0CAF" w:rsidRDefault="005B0CAF" w:rsidP="005B0CAF">
            <w:pPr>
              <w:jc w:val="center"/>
            </w:pPr>
            <w:r w:rsidRPr="005B0CAF">
              <w:t>Activities</w:t>
            </w:r>
          </w:p>
        </w:tc>
        <w:tc>
          <w:tcPr>
            <w:tcW w:w="1262" w:type="dxa"/>
          </w:tcPr>
          <w:p w14:paraId="10B4EA97" w14:textId="4A4DC6D0" w:rsidR="005B0CAF" w:rsidRPr="005B0CAF" w:rsidRDefault="005B0CAF" w:rsidP="005B0CAF">
            <w:pPr>
              <w:jc w:val="center"/>
            </w:pPr>
            <w:r w:rsidRPr="005B0CAF">
              <w:t>Knowledge Checks</w:t>
            </w:r>
          </w:p>
        </w:tc>
        <w:tc>
          <w:tcPr>
            <w:tcW w:w="1508" w:type="dxa"/>
          </w:tcPr>
          <w:p w14:paraId="07986B77" w14:textId="7703F930" w:rsidR="005B0CAF" w:rsidRPr="005B0CAF" w:rsidRDefault="005B0CAF" w:rsidP="005B0CAF">
            <w:pPr>
              <w:jc w:val="center"/>
            </w:pPr>
            <w:r w:rsidRPr="005B0CAF">
              <w:t>Projects</w:t>
            </w:r>
          </w:p>
        </w:tc>
      </w:tr>
      <w:tr w:rsidR="005B0CAF" w14:paraId="073773E1" w14:textId="77777777" w:rsidTr="005B0CAF">
        <w:trPr>
          <w:trHeight w:val="762"/>
        </w:trPr>
        <w:tc>
          <w:tcPr>
            <w:tcW w:w="811" w:type="dxa"/>
          </w:tcPr>
          <w:p w14:paraId="06C008A6" w14:textId="77777777" w:rsidR="00EA0DF7" w:rsidRDefault="00EA0DF7" w:rsidP="00D26484">
            <w:r>
              <w:t>4</w:t>
            </w:r>
          </w:p>
        </w:tc>
        <w:tc>
          <w:tcPr>
            <w:tcW w:w="1262" w:type="dxa"/>
          </w:tcPr>
          <w:p w14:paraId="17EF66B5" w14:textId="5FE06473" w:rsidR="00EA0DF7" w:rsidRDefault="00EA0DF7" w:rsidP="005B0CAF">
            <w:pPr>
              <w:jc w:val="center"/>
            </w:pPr>
            <w:r>
              <w:t xml:space="preserve">  3/16-3/30</w:t>
            </w:r>
            <w:r w:rsidR="005B0CAF">
              <w:br/>
            </w:r>
            <w:r>
              <w:t>(includes Spring break)</w:t>
            </w:r>
          </w:p>
        </w:tc>
        <w:tc>
          <w:tcPr>
            <w:tcW w:w="1262" w:type="dxa"/>
          </w:tcPr>
          <w:p w14:paraId="5643F529" w14:textId="77777777" w:rsidR="00EA0DF7" w:rsidRDefault="00EA0DF7" w:rsidP="00D26484">
            <w:r>
              <w:t xml:space="preserve">Food and Hunger </w:t>
            </w:r>
          </w:p>
        </w:tc>
        <w:tc>
          <w:tcPr>
            <w:tcW w:w="1262" w:type="dxa"/>
          </w:tcPr>
          <w:p w14:paraId="082103B5" w14:textId="77777777" w:rsidR="00EA0DF7" w:rsidRDefault="00EA0DF7" w:rsidP="00D26484">
            <w:r>
              <w:t>Concept Check #4</w:t>
            </w:r>
          </w:p>
        </w:tc>
        <w:tc>
          <w:tcPr>
            <w:tcW w:w="1262" w:type="dxa"/>
          </w:tcPr>
          <w:p w14:paraId="7597FA1D" w14:textId="77777777" w:rsidR="00EA0DF7" w:rsidRDefault="00EA0DF7" w:rsidP="00D26484">
            <w:r>
              <w:t>Discussion #2</w:t>
            </w:r>
          </w:p>
        </w:tc>
        <w:tc>
          <w:tcPr>
            <w:tcW w:w="1083" w:type="dxa"/>
          </w:tcPr>
          <w:p w14:paraId="62630FB0" w14:textId="77777777" w:rsidR="00EA0DF7" w:rsidRDefault="00EA0DF7" w:rsidP="00D26484"/>
        </w:tc>
        <w:tc>
          <w:tcPr>
            <w:tcW w:w="1262" w:type="dxa"/>
          </w:tcPr>
          <w:p w14:paraId="0D5DB52C" w14:textId="77777777" w:rsidR="00EA0DF7" w:rsidRDefault="00EA0DF7" w:rsidP="00D26484">
            <w:r>
              <w:t>Knowledge Check #2</w:t>
            </w:r>
          </w:p>
        </w:tc>
        <w:tc>
          <w:tcPr>
            <w:tcW w:w="1508" w:type="dxa"/>
          </w:tcPr>
          <w:p w14:paraId="5EFC117B" w14:textId="0F63823F" w:rsidR="00EA0DF7" w:rsidRDefault="00EA0DF7" w:rsidP="00D26484">
            <w:r>
              <w:t>Citizen Science Due</w:t>
            </w:r>
            <w:r w:rsidRPr="00B13797">
              <w:rPr>
                <w:rFonts w:ascii="Times" w:hAnsi="Times" w:cs="Times"/>
                <w:noProof/>
                <w:color w:val="000000"/>
                <w:sz w:val="20"/>
                <w:szCs w:val="20"/>
              </w:rPr>
              <w:t xml:space="preserve"> </w:t>
            </w:r>
          </w:p>
        </w:tc>
      </w:tr>
      <w:tr w:rsidR="005B0CAF" w14:paraId="0F6D74CE" w14:textId="77777777" w:rsidTr="005B0CAF">
        <w:trPr>
          <w:trHeight w:val="508"/>
        </w:trPr>
        <w:tc>
          <w:tcPr>
            <w:tcW w:w="811" w:type="dxa"/>
          </w:tcPr>
          <w:p w14:paraId="75652A32" w14:textId="77777777" w:rsidR="00EA0DF7" w:rsidRDefault="00EA0DF7" w:rsidP="00D26484">
            <w:r>
              <w:t>5</w:t>
            </w:r>
          </w:p>
        </w:tc>
        <w:tc>
          <w:tcPr>
            <w:tcW w:w="1262" w:type="dxa"/>
          </w:tcPr>
          <w:p w14:paraId="4510A77D" w14:textId="77777777" w:rsidR="00EA0DF7" w:rsidRDefault="00EA0DF7" w:rsidP="00D26484">
            <w:pPr>
              <w:jc w:val="center"/>
            </w:pPr>
            <w:r>
              <w:t>3/30</w:t>
            </w:r>
          </w:p>
        </w:tc>
        <w:tc>
          <w:tcPr>
            <w:tcW w:w="1262" w:type="dxa"/>
          </w:tcPr>
          <w:p w14:paraId="2AF652D5" w14:textId="77777777" w:rsidR="00EA0DF7" w:rsidRDefault="00EA0DF7" w:rsidP="00D26484">
            <w:r>
              <w:t>Technology &amp; Culture</w:t>
            </w:r>
          </w:p>
        </w:tc>
        <w:tc>
          <w:tcPr>
            <w:tcW w:w="1262" w:type="dxa"/>
          </w:tcPr>
          <w:p w14:paraId="46D488D9" w14:textId="77777777" w:rsidR="00EA0DF7" w:rsidRDefault="00EA0DF7" w:rsidP="00D26484">
            <w:r>
              <w:t xml:space="preserve">Concept Check Technology </w:t>
            </w:r>
          </w:p>
        </w:tc>
        <w:tc>
          <w:tcPr>
            <w:tcW w:w="1262" w:type="dxa"/>
          </w:tcPr>
          <w:p w14:paraId="6292D402" w14:textId="77777777" w:rsidR="00EA0DF7" w:rsidRDefault="00EA0DF7" w:rsidP="00D26484"/>
        </w:tc>
        <w:tc>
          <w:tcPr>
            <w:tcW w:w="1083" w:type="dxa"/>
          </w:tcPr>
          <w:p w14:paraId="35DC2F23" w14:textId="77777777" w:rsidR="00EA0DF7" w:rsidRDefault="00EA0DF7" w:rsidP="00D26484">
            <w:r>
              <w:t xml:space="preserve">Fact or Myth </w:t>
            </w:r>
          </w:p>
        </w:tc>
        <w:tc>
          <w:tcPr>
            <w:tcW w:w="1262" w:type="dxa"/>
          </w:tcPr>
          <w:p w14:paraId="5B092675" w14:textId="77777777" w:rsidR="00EA0DF7" w:rsidRDefault="00EA0DF7" w:rsidP="00D26484"/>
        </w:tc>
        <w:tc>
          <w:tcPr>
            <w:tcW w:w="1508" w:type="dxa"/>
          </w:tcPr>
          <w:p w14:paraId="0915410E" w14:textId="77777777" w:rsidR="00EA0DF7" w:rsidRDefault="00EA0DF7" w:rsidP="00D26484">
            <w:r>
              <w:t>DOT Project Opens</w:t>
            </w:r>
          </w:p>
        </w:tc>
      </w:tr>
    </w:tbl>
    <w:p w14:paraId="695DCA89" w14:textId="77777777" w:rsidR="00F53D7D" w:rsidRDefault="00F53D7D" w:rsidP="00F53D7D">
      <w:pPr>
        <w:pStyle w:val="ListParagraph"/>
        <w:numPr>
          <w:ilvl w:val="0"/>
          <w:numId w:val="5"/>
        </w:numPr>
        <w:rPr>
          <w:b/>
        </w:rPr>
      </w:pPr>
      <w:r w:rsidRPr="00F53D7D">
        <w:rPr>
          <w:b/>
        </w:rPr>
        <w:t xml:space="preserve">You need to construct your syllabus to allow for at least two weeks so that the assignments align. I have already started to be more lenient with giving students more time with the information, but that is not always possible on shorter parts of term. But, I still allow my 10-week students two weeks to get items done for Spring Break. If you need to grade items, then I grade when </w:t>
      </w:r>
      <w:r w:rsidR="003F360C">
        <w:rPr>
          <w:b/>
        </w:rPr>
        <w:t xml:space="preserve">you </w:t>
      </w:r>
      <w:r w:rsidRPr="00F53D7D">
        <w:rPr>
          <w:b/>
        </w:rPr>
        <w:t xml:space="preserve">come back from Spring Break. </w:t>
      </w:r>
    </w:p>
    <w:p w14:paraId="4E2FC9E7" w14:textId="77777777" w:rsidR="003F360C" w:rsidRPr="003F360C" w:rsidRDefault="003F360C" w:rsidP="00F53D7D">
      <w:pPr>
        <w:pStyle w:val="ListParagraph"/>
        <w:numPr>
          <w:ilvl w:val="0"/>
          <w:numId w:val="5"/>
        </w:numPr>
      </w:pPr>
      <w:r w:rsidRPr="003F360C">
        <w:t>One day maybe we can have one Spring Break, but until then. Just try to be mindful about what assignments you want them to do and how much time you are giving them. Honestly, some students will not read and listen so they will not start working on their assignments until the very end. I do not feel bad when I say you had two weeks to do this assignment</w:t>
      </w:r>
      <w:r w:rsidR="000C3C49">
        <w:t>.</w:t>
      </w:r>
      <w:r w:rsidRPr="003F360C">
        <w:t xml:space="preserve"> I will be taking points off for it being late. </w:t>
      </w:r>
    </w:p>
    <w:p w14:paraId="293E0D2D" w14:textId="77777777" w:rsidR="00EA0DF7" w:rsidRDefault="00F53D7D" w:rsidP="005E48FD">
      <w:r>
        <w:t xml:space="preserve">If you would like to contact me, my information is below. Yes, I am a Science Adjunct Faculty </w:t>
      </w:r>
      <w:r w:rsidR="003F360C">
        <w:t xml:space="preserve">and a </w:t>
      </w:r>
      <w:r>
        <w:t xml:space="preserve">Learning Designer! </w:t>
      </w:r>
    </w:p>
    <w:p w14:paraId="4C8C3EAE" w14:textId="77777777" w:rsidR="00F53D7D" w:rsidRDefault="00F53D7D" w:rsidP="00F53D7D">
      <w:pPr>
        <w:pStyle w:val="NormalWeb"/>
        <w:spacing w:before="0" w:beforeAutospacing="0" w:after="0" w:afterAutospacing="0"/>
      </w:pPr>
      <w:r>
        <w:rPr>
          <w:rFonts w:ascii="Brush Script MT" w:hAnsi="Brush Script MT"/>
          <w:color w:val="000000"/>
          <w:sz w:val="40"/>
          <w:szCs w:val="40"/>
        </w:rPr>
        <w:t xml:space="preserve">Laylonda Maines </w:t>
      </w:r>
    </w:p>
    <w:p w14:paraId="3B4D700E" w14:textId="77777777" w:rsidR="00F53D7D" w:rsidRDefault="005E3A8B" w:rsidP="00F53D7D">
      <w:pPr>
        <w:pStyle w:val="NormalWeb"/>
        <w:spacing w:before="0" w:beforeAutospacing="0" w:after="0" w:afterAutospacing="0"/>
      </w:pPr>
      <w:hyperlink r:id="rId9" w:history="1">
        <w:r w:rsidR="00F53D7D">
          <w:rPr>
            <w:rStyle w:val="Hyperlink"/>
          </w:rPr>
          <w:t>Laylonda.Maines@frontrange.edu</w:t>
        </w:r>
      </w:hyperlink>
    </w:p>
    <w:p w14:paraId="24D09092" w14:textId="77777777" w:rsidR="00F53D7D" w:rsidRDefault="00F53D7D" w:rsidP="00F53D7D">
      <w:pPr>
        <w:pStyle w:val="NormalWeb"/>
        <w:spacing w:before="0" w:beforeAutospacing="0" w:after="0" w:afterAutospacing="0"/>
      </w:pPr>
      <w:r>
        <w:rPr>
          <w:b/>
          <w:bCs/>
          <w:color w:val="660066"/>
        </w:rPr>
        <w:t>Learning Design and Production Coordinator, BCC</w:t>
      </w:r>
    </w:p>
    <w:p w14:paraId="7046EF74" w14:textId="77777777" w:rsidR="00F53D7D" w:rsidRDefault="00F53D7D" w:rsidP="00F53D7D">
      <w:pPr>
        <w:pStyle w:val="NormalWeb"/>
        <w:spacing w:before="0" w:beforeAutospacing="0" w:after="0" w:afterAutospacing="0"/>
      </w:pPr>
      <w:r>
        <w:rPr>
          <w:b/>
          <w:bCs/>
          <w:color w:val="660066"/>
        </w:rPr>
        <w:t xml:space="preserve">Front Range Community College </w:t>
      </w:r>
    </w:p>
    <w:p w14:paraId="6C5D1ABE" w14:textId="789D1108" w:rsidR="00F53D7D" w:rsidRDefault="00F53D7D" w:rsidP="00F53D7D">
      <w:pPr>
        <w:pStyle w:val="elementtoproof"/>
        <w:spacing w:before="0" w:beforeAutospacing="0" w:after="0" w:afterAutospacing="0"/>
        <w:rPr>
          <w:b/>
          <w:bCs/>
          <w:color w:val="660066"/>
        </w:rPr>
      </w:pPr>
      <w:r>
        <w:rPr>
          <w:b/>
          <w:bCs/>
          <w:color w:val="660066"/>
        </w:rPr>
        <w:t>Ph: 303-678-3920</w:t>
      </w:r>
    </w:p>
    <w:sectPr w:rsidR="00F53D7D" w:rsidSect="008C3F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614"/>
    <w:multiLevelType w:val="hybridMultilevel"/>
    <w:tmpl w:val="F3F6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0FC0"/>
    <w:multiLevelType w:val="hybridMultilevel"/>
    <w:tmpl w:val="283CE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939E5"/>
    <w:multiLevelType w:val="hybridMultilevel"/>
    <w:tmpl w:val="283CE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65096"/>
    <w:multiLevelType w:val="hybridMultilevel"/>
    <w:tmpl w:val="9A44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4155F"/>
    <w:multiLevelType w:val="hybridMultilevel"/>
    <w:tmpl w:val="0108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784368">
    <w:abstractNumId w:val="4"/>
  </w:num>
  <w:num w:numId="2" w16cid:durableId="684672909">
    <w:abstractNumId w:val="3"/>
  </w:num>
  <w:num w:numId="3" w16cid:durableId="1612123852">
    <w:abstractNumId w:val="0"/>
  </w:num>
  <w:num w:numId="4" w16cid:durableId="851460059">
    <w:abstractNumId w:val="2"/>
  </w:num>
  <w:num w:numId="5" w16cid:durableId="1141311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7F"/>
    <w:rsid w:val="00036839"/>
    <w:rsid w:val="000C3C49"/>
    <w:rsid w:val="00302746"/>
    <w:rsid w:val="00337C48"/>
    <w:rsid w:val="003F360C"/>
    <w:rsid w:val="003F433B"/>
    <w:rsid w:val="00427E9E"/>
    <w:rsid w:val="005B0CAF"/>
    <w:rsid w:val="005D7FEB"/>
    <w:rsid w:val="005E3A8B"/>
    <w:rsid w:val="005E48FD"/>
    <w:rsid w:val="00725B8C"/>
    <w:rsid w:val="007B4FA6"/>
    <w:rsid w:val="008C3FAE"/>
    <w:rsid w:val="009B356A"/>
    <w:rsid w:val="00A3167F"/>
    <w:rsid w:val="00A77EA4"/>
    <w:rsid w:val="00D240DB"/>
    <w:rsid w:val="00E8245F"/>
    <w:rsid w:val="00EA0DF7"/>
    <w:rsid w:val="00F5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9906"/>
  <w15:chartTrackingRefBased/>
  <w15:docId w15:val="{430EBFEB-E197-481D-A053-E3676BF6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67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FAE"/>
    <w:pPr>
      <w:ind w:left="720"/>
      <w:contextualSpacing/>
    </w:pPr>
  </w:style>
  <w:style w:type="table" w:styleId="TableGrid">
    <w:name w:val="Table Grid"/>
    <w:basedOn w:val="TableNormal"/>
    <w:uiPriority w:val="39"/>
    <w:rsid w:val="00A7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5B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5B8C"/>
    <w:rPr>
      <w:rFonts w:cs="Times New Roman"/>
      <w:b/>
      <w:bCs/>
    </w:rPr>
  </w:style>
  <w:style w:type="character" w:styleId="Hyperlink">
    <w:name w:val="Hyperlink"/>
    <w:basedOn w:val="DefaultParagraphFont"/>
    <w:uiPriority w:val="99"/>
    <w:unhideWhenUsed/>
    <w:rsid w:val="005E48FD"/>
    <w:rPr>
      <w:color w:val="0563C1" w:themeColor="hyperlink"/>
      <w:u w:val="single"/>
    </w:rPr>
  </w:style>
  <w:style w:type="character" w:styleId="UnresolvedMention">
    <w:name w:val="Unresolved Mention"/>
    <w:basedOn w:val="DefaultParagraphFont"/>
    <w:uiPriority w:val="99"/>
    <w:semiHidden/>
    <w:unhideWhenUsed/>
    <w:rsid w:val="005E48FD"/>
    <w:rPr>
      <w:color w:val="605E5C"/>
      <w:shd w:val="clear" w:color="auto" w:fill="E1DFDD"/>
    </w:rPr>
  </w:style>
  <w:style w:type="table" w:customStyle="1" w:styleId="TableGrid1">
    <w:name w:val="Table Grid1"/>
    <w:basedOn w:val="TableNormal"/>
    <w:next w:val="TableGrid"/>
    <w:uiPriority w:val="59"/>
    <w:rsid w:val="00EA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rsid w:val="00F53D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30374">
      <w:bodyDiv w:val="1"/>
      <w:marLeft w:val="0"/>
      <w:marRight w:val="0"/>
      <w:marTop w:val="0"/>
      <w:marBottom w:val="0"/>
      <w:divBdr>
        <w:top w:val="none" w:sz="0" w:space="0" w:color="auto"/>
        <w:left w:val="none" w:sz="0" w:space="0" w:color="auto"/>
        <w:bottom w:val="none" w:sz="0" w:space="0" w:color="auto"/>
        <w:right w:val="none" w:sz="0" w:space="0" w:color="auto"/>
      </w:divBdr>
    </w:div>
    <w:div w:id="856966138">
      <w:bodyDiv w:val="1"/>
      <w:marLeft w:val="0"/>
      <w:marRight w:val="0"/>
      <w:marTop w:val="0"/>
      <w:marBottom w:val="0"/>
      <w:divBdr>
        <w:top w:val="none" w:sz="0" w:space="0" w:color="auto"/>
        <w:left w:val="none" w:sz="0" w:space="0" w:color="auto"/>
        <w:bottom w:val="none" w:sz="0" w:space="0" w:color="auto"/>
        <w:right w:val="none" w:sz="0" w:space="0" w:color="auto"/>
      </w:divBdr>
    </w:div>
    <w:div w:id="18432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salahub@frontran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aylonda.Maines@frontran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866536E9D67044910C8F1DD8B04FDD" ma:contentTypeVersion="13" ma:contentTypeDescription="Create a new document." ma:contentTypeScope="" ma:versionID="64e11026b72d99809e93dfa988c7b215">
  <xsd:schema xmlns:xsd="http://www.w3.org/2001/XMLSchema" xmlns:xs="http://www.w3.org/2001/XMLSchema" xmlns:p="http://schemas.microsoft.com/office/2006/metadata/properties" xmlns:ns3="770178e1-25a1-4050-94d3-d05bf9269341" xmlns:ns4="8edad602-51f4-4948-9ca6-a5dfdf22101f" targetNamespace="http://schemas.microsoft.com/office/2006/metadata/properties" ma:root="true" ma:fieldsID="a5c939b86c98065e4aa433c4a3f11b01" ns3:_="" ns4:_="">
    <xsd:import namespace="770178e1-25a1-4050-94d3-d05bf9269341"/>
    <xsd:import namespace="8edad602-51f4-4948-9ca6-a5dfdf2210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178e1-25a1-4050-94d3-d05bf9269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dad602-51f4-4948-9ca6-a5dfdf2210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A80C5-542C-4058-A569-2B2F8387D372}">
  <ds:schemaRefs>
    <ds:schemaRef ds:uri="http://schemas.microsoft.com/sharepoint/v3/contenttype/forms"/>
  </ds:schemaRefs>
</ds:datastoreItem>
</file>

<file path=customXml/itemProps2.xml><?xml version="1.0" encoding="utf-8"?>
<ds:datastoreItem xmlns:ds="http://schemas.openxmlformats.org/officeDocument/2006/customXml" ds:itemID="{274AD3A9-0812-4C03-AD57-16D8F3ACDF11}">
  <ds:schemaRefs>
    <ds:schemaRef ds:uri="8edad602-51f4-4948-9ca6-a5dfdf22101f"/>
    <ds:schemaRef ds:uri="http://schemas.microsoft.com/office/2006/documentManagement/types"/>
    <ds:schemaRef ds:uri="http://schemas.microsoft.com/office/infopath/2007/PartnerControls"/>
    <ds:schemaRef ds:uri="http://purl.org/dc/elements/1.1/"/>
    <ds:schemaRef ds:uri="770178e1-25a1-4050-94d3-d05bf9269341"/>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1AD2449-F640-42E5-99C3-B97D5177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178e1-25a1-4050-94d3-d05bf9269341"/>
    <ds:schemaRef ds:uri="8edad602-51f4-4948-9ca6-a5dfdf221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Front Range Community College</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Salahub, Eric</dc:creator>
  <cp:keywords/>
  <dc:description/>
  <cp:lastModifiedBy>Vercauteren, Tammy (CCCS)</cp:lastModifiedBy>
  <cp:revision>3</cp:revision>
  <dcterms:created xsi:type="dcterms:W3CDTF">2022-12-21T22:28:00Z</dcterms:created>
  <dcterms:modified xsi:type="dcterms:W3CDTF">2022-12-21T22:40:00Z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0x0101002E866536E9D67044910C8F1DD8B04FDD</vt:lpwstr>
  </property>
</Properties>
</file>